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ind w:firstLine="0" w:firstLineChars="0"/>
        <w:jc w:val="center"/>
        <w:rPr>
          <w:rFonts w:hint="eastAsia" w:ascii="方正小标宋简体" w:eastAsia="方正小标宋简体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关于组织参加首届滨城人才创新创业大赛</w:t>
      </w:r>
    </w:p>
    <w:p>
      <w:pPr>
        <w:widowControl w:val="0"/>
        <w:ind w:firstLine="0" w:firstLineChars="0"/>
        <w:jc w:val="center"/>
        <w:rPr>
          <w:rFonts w:ascii="方正小标宋简体" w:eastAsia="方正小标宋简体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的通知</w:t>
      </w:r>
      <w:bookmarkStart w:id="0" w:name="_GoBack"/>
      <w:bookmarkEnd w:id="0"/>
    </w:p>
    <w:p>
      <w:pPr>
        <w:widowControl w:val="0"/>
        <w:ind w:firstLine="68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</w:p>
    <w:p>
      <w:pPr>
        <w:widowControl w:val="0"/>
        <w:ind w:firstLine="0" w:firstLineChars="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各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有关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高校：</w:t>
      </w:r>
    </w:p>
    <w:p>
      <w:pPr>
        <w:widowControl w:val="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为深入落实科教兴市人才强市行动，围绕服务滨海新区高质量发展支撑引领行动，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天津市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滨海新区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启动了以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“智汇滨海·领航未来”为主题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“智汇滨海”人才节</w:t>
      </w:r>
      <w:r>
        <w:rPr>
          <w:rFonts w:hint="eastAsia"/>
          <w:color w:val="000000" w:themeColor="text1"/>
          <w:szCs w:val="3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并举办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2023年首届滨城人才创新创业大赛</w:t>
      </w:r>
      <w:r>
        <w:rPr>
          <w:rFonts w:hint="eastAsia"/>
          <w:color w:val="000000" w:themeColor="text1"/>
          <w:szCs w:val="3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现将大赛相关情况转发如下，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请各高校发挥人才资源、科创资源优势，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广泛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动员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师生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积极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报名参赛</w:t>
      </w:r>
      <w:r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  <w:t>。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1.大赛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实施激励、服务、支持、保障“四位一体”驱动，深度融合人才链、创新链、产业链、资金链，释放识才爱才敬才用才的滨城诚意，营造人才涌流、创新激扬、创业迸发的滨城盛势，让有创新梦想的人能够心无旁骛、有信心又有激情地投入到创新事业中。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大赛细分智能科技、绿色石化、汽车工业、装备制造、生物医药、新能源新材料、航空航天、现代服务业等其他行业</w:t>
      </w:r>
      <w:r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个赛道领域，通过高设奖金、政策赋能、交流展示、孵化服务、融资支持、市场对接、人才礼遇、社会荣誉，以全周期优质服务帮助青年人才实现创新创业梦想。</w:t>
      </w:r>
    </w:p>
    <w:p>
      <w:pPr>
        <w:widowControl w:val="0"/>
        <w:ind w:firstLine="68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大赛专设青年创客项目，主要面向广大高校师生，获奖席位31名，其中，特等奖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名，经费资助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50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万元；一等奖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名，经费资助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25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万元；二等奖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名，经费资助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万元；三等奖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名，经费资助</w:t>
      </w:r>
      <w:r>
        <w:rPr>
          <w:rFonts w:hint="eastAsia"/>
          <w:b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万元。滨海新区将提供全链条全周期政策服务，支持获奖项目在滨海新区快速落地、投资，</w:t>
      </w:r>
      <w:r>
        <w:rPr>
          <w:rFonts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让</w:t>
      </w:r>
      <w:r>
        <w:rPr>
          <w:rFonts w:hint="eastAsia"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高校优质项目</w:t>
      </w:r>
      <w:r>
        <w:rPr>
          <w:rFonts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从创意到创新再到创业，与</w:t>
      </w:r>
      <w:r>
        <w:rPr>
          <w:rFonts w:hint="eastAsia"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滨海新区共同成长发展</w:t>
      </w:r>
      <w:r>
        <w:rPr>
          <w:rFonts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青年创客获奖第二年将有进阶激励，有机会参加创业领军人才项目评审（奖励最高可达150万元）。当年获奖后将受邀出席9月下旬的滨城人才峰会，由一流专家和知名行业大咖进行颁奖辅导，给予充分礼遇、持续赋能。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大赛</w:t>
      </w:r>
      <w:r>
        <w:rPr>
          <w:rFonts w:hint="eastAsia" w:cs="Times New Roman"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报名截止到</w:t>
      </w:r>
      <w:r>
        <w:rPr>
          <w:rFonts w:cs="Times New Roman"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2023年8月</w:t>
      </w:r>
      <w:r>
        <w:rPr>
          <w:rFonts w:hint="eastAsia" w:cs="Times New Roman"/>
          <w:bCs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6日</w:t>
      </w:r>
      <w:r>
        <w:rPr>
          <w:rFonts w:hint="eastAsia" w:cs="Times New Roman"/>
          <w:bCs/>
          <w:color w:val="000000" w:themeColor="text1"/>
          <w:szCs w:val="34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具体详情可登陆报名网站</w:t>
      </w:r>
      <w:r>
        <w:rPr>
          <w:rFonts w:hint="eastAsia"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：</w:t>
      </w:r>
      <w:r>
        <w:fldChar w:fldCharType="begin"/>
      </w:r>
      <w:r>
        <w:instrText xml:space="preserve"> HYPERLINK "http://bcrcds.bestown-tj.com" </w:instrText>
      </w:r>
      <w:r>
        <w:fldChar w:fldCharType="separate"/>
      </w:r>
      <w:r>
        <w:rPr>
          <w:rStyle w:val="7"/>
          <w:rFonts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http://bcrcds.bestown-tj.com</w:t>
      </w:r>
      <w:r>
        <w:rPr>
          <w:rStyle w:val="7"/>
          <w:rFonts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（推荐PC端使用），并可通过</w:t>
      </w:r>
      <w:r>
        <w:rPr>
          <w:rFonts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天津市滨海新区政府门户网站、滨海新区政务帮办平台、“滨海发布”公众号、“滨海新区人才办”公众号等</w:t>
      </w:r>
      <w:r>
        <w:rPr>
          <w:rFonts w:hint="eastAsia" w:cs="Times New Roman"/>
          <w:color w:val="000000" w:themeColor="text1"/>
          <w:szCs w:val="34"/>
          <w14:textFill>
            <w14:solidFill>
              <w14:schemeClr w14:val="tx1"/>
            </w14:solidFill>
          </w14:textFill>
        </w:rPr>
        <w:t>渠道进行关注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。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5.大赛联系人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庄树坤  15022015295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李  倩  18802231825</w:t>
      </w:r>
    </w:p>
    <w:p>
      <w:pPr>
        <w:widowControl w:val="0"/>
        <w:ind w:firstLine="680"/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 w:val="0"/>
        <w:ind w:firstLine="680"/>
        <w:rPr>
          <w:rFonts w:hint="default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 w:val="0"/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</w:pPr>
    </w:p>
    <w:p>
      <w:pPr>
        <w:widowControl w:val="0"/>
        <w:ind w:firstLine="4420" w:firstLineChars="130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  <w:t>2023年</w:t>
      </w:r>
      <w:r>
        <w:rPr>
          <w:rFonts w:hint="eastAsia"/>
          <w:color w:val="000000" w:themeColor="text1"/>
          <w:szCs w:val="34"/>
          <w14:textFill>
            <w14:solidFill>
              <w14:schemeClr w14:val="tx1"/>
            </w14:solidFill>
          </w14:textFill>
        </w:rPr>
        <w:t>7</w:t>
      </w:r>
      <w:r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Cs w:val="34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  <w:t>日</w:t>
      </w:r>
    </w:p>
    <w:p>
      <w:pPr>
        <w:widowControl w:val="0"/>
        <w:ind w:firstLine="68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</w:p>
    <w:p>
      <w:pPr>
        <w:widowControl w:val="0"/>
        <w:rPr>
          <w:color w:val="000000" w:themeColor="text1"/>
          <w:szCs w:val="34"/>
          <w14:textFill>
            <w14:solidFill>
              <w14:schemeClr w14:val="tx1"/>
            </w14:solidFill>
          </w14:textFill>
        </w:rPr>
      </w:pPr>
    </w:p>
    <w:sectPr>
      <w:footerReference r:id="rId5" w:type="default"/>
      <w:pgSz w:w="11906" w:h="16838"/>
      <w:pgMar w:top="2041" w:right="1559" w:bottom="1701" w:left="1559" w:header="851" w:footer="992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68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sdt>
                          <w:sdtPr>
                            <w:id w:val="41622860"/>
                            <w:docPartObj>
                              <w:docPartGallery w:val="autotext"/>
                            </w:docPartObj>
                          </w:sdtPr>
                          <w:sdtContent>
                            <w:p>
                              <w:pPr>
                                <w:pStyle w:val="2"/>
                                <w:ind w:firstLine="680"/>
                                <w:jc w:val="center"/>
                              </w:pP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hint="eastAsia" w:ascii="仿宋" w:hAnsi="仿宋" w:eastAsia="仿宋" w:cs="仿宋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41622860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2"/>
                          <w:ind w:firstLine="680"/>
                          <w:jc w:val="center"/>
                        </w:pP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rFonts w:hint="eastAsia" w:ascii="仿宋" w:hAnsi="仿宋" w:eastAsia="仿宋" w:cs="仿宋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OTJiNzhlYTNjM2QxMWJiNzdlYmNiNjcyOTNkYmYifQ=="/>
  </w:docVars>
  <w:rsids>
    <w:rsidRoot w:val="00883EAC"/>
    <w:rsid w:val="000107A7"/>
    <w:rsid w:val="00037AAA"/>
    <w:rsid w:val="00040B02"/>
    <w:rsid w:val="001A3265"/>
    <w:rsid w:val="001A3CE6"/>
    <w:rsid w:val="00202F30"/>
    <w:rsid w:val="00223038"/>
    <w:rsid w:val="00242ACC"/>
    <w:rsid w:val="002C73A1"/>
    <w:rsid w:val="00340863"/>
    <w:rsid w:val="00424AED"/>
    <w:rsid w:val="005A74B6"/>
    <w:rsid w:val="00883EAC"/>
    <w:rsid w:val="00B97D5F"/>
    <w:rsid w:val="00CD5FE2"/>
    <w:rsid w:val="059E0E2D"/>
    <w:rsid w:val="37FF6095"/>
    <w:rsid w:val="3D18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